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A0" w:rsidRPr="001B13A0" w:rsidRDefault="00D94221" w:rsidP="001B13A0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Nuoriso</w:t>
      </w:r>
      <w:r w:rsidR="001B13A0" w:rsidRPr="001B13A0">
        <w:rPr>
          <w:b/>
          <w:sz w:val="24"/>
          <w:szCs w:val="24"/>
        </w:rPr>
        <w:t xml:space="preserve">työn </w:t>
      </w:r>
      <w:proofErr w:type="spellStart"/>
      <w:r w:rsidR="001B13A0" w:rsidRPr="001B13A0">
        <w:rPr>
          <w:b/>
          <w:sz w:val="24"/>
          <w:szCs w:val="24"/>
        </w:rPr>
        <w:t>auditointi-</w:t>
      </w:r>
      <w:proofErr w:type="spellEnd"/>
      <w:r w:rsidR="001B13A0" w:rsidRPr="001B13A0">
        <w:rPr>
          <w:b/>
          <w:sz w:val="24"/>
          <w:szCs w:val="24"/>
        </w:rPr>
        <w:t xml:space="preserve"> ja </w:t>
      </w:r>
      <w:proofErr w:type="spellStart"/>
      <w:r w:rsidR="001B13A0" w:rsidRPr="001B13A0">
        <w:rPr>
          <w:b/>
          <w:sz w:val="24"/>
          <w:szCs w:val="24"/>
        </w:rPr>
        <w:t>itsearviointimalli</w:t>
      </w:r>
      <w:proofErr w:type="spellEnd"/>
      <w:r w:rsidR="00851149">
        <w:rPr>
          <w:b/>
          <w:sz w:val="24"/>
          <w:szCs w:val="24"/>
        </w:rPr>
        <w:t>: Nuorten itsearviointi</w:t>
      </w:r>
      <w:bookmarkStart w:id="0" w:name="_GoBack"/>
      <w:bookmarkEnd w:id="0"/>
    </w:p>
    <w:p w:rsidR="001B13A0" w:rsidRDefault="001B13A0" w:rsidP="001B13A0">
      <w:pPr>
        <w:pBdr>
          <w:bottom w:val="single" w:sz="4" w:space="1" w:color="auto"/>
        </w:pBdr>
      </w:pPr>
      <w:r>
        <w:t>Työyhteisön toiminta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067"/>
        <w:gridCol w:w="1897"/>
        <w:gridCol w:w="1813"/>
      </w:tblGrid>
      <w:tr w:rsidR="0065464B" w:rsidTr="00187A86">
        <w:tc>
          <w:tcPr>
            <w:tcW w:w="1668" w:type="dxa"/>
          </w:tcPr>
          <w:p w:rsidR="001B13A0" w:rsidRDefault="0065464B" w:rsidP="0099734C">
            <w:r>
              <w:t>Arviointikriteerit</w:t>
            </w:r>
          </w:p>
        </w:tc>
        <w:tc>
          <w:tcPr>
            <w:tcW w:w="2409" w:type="dxa"/>
          </w:tcPr>
          <w:p w:rsidR="001B13A0" w:rsidRDefault="008C1FCB" w:rsidP="001B13A0">
            <w:r>
              <w:t>4. erinomainen</w:t>
            </w:r>
          </w:p>
        </w:tc>
        <w:tc>
          <w:tcPr>
            <w:tcW w:w="2067" w:type="dxa"/>
          </w:tcPr>
          <w:p w:rsidR="001B13A0" w:rsidRDefault="008C1FCB" w:rsidP="001B13A0">
            <w:r>
              <w:t>3. Hyvä</w:t>
            </w:r>
          </w:p>
        </w:tc>
        <w:tc>
          <w:tcPr>
            <w:tcW w:w="1897" w:type="dxa"/>
          </w:tcPr>
          <w:p w:rsidR="001B13A0" w:rsidRDefault="008C1FCB" w:rsidP="001B13A0">
            <w:r>
              <w:t>2. Tyydyttävä</w:t>
            </w:r>
          </w:p>
        </w:tc>
        <w:tc>
          <w:tcPr>
            <w:tcW w:w="1813" w:type="dxa"/>
          </w:tcPr>
          <w:p w:rsidR="001B13A0" w:rsidRDefault="008C1FCB" w:rsidP="001B13A0">
            <w:r>
              <w:t>1. Puutteellinen/Heikko</w:t>
            </w:r>
          </w:p>
        </w:tc>
      </w:tr>
      <w:tr w:rsidR="0065464B" w:rsidTr="00187A86">
        <w:tc>
          <w:tcPr>
            <w:tcW w:w="1668" w:type="dxa"/>
          </w:tcPr>
          <w:p w:rsidR="001B13A0" w:rsidRPr="0099734C" w:rsidRDefault="0099734C" w:rsidP="0099734C">
            <w:pPr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  <w:r w:rsidR="008C1FCB" w:rsidRPr="0099734C">
              <w:rPr>
                <w:rFonts w:cstheme="minorHAnsi"/>
              </w:rPr>
              <w:t>Tilanteiden hallinta</w:t>
            </w:r>
          </w:p>
        </w:tc>
        <w:tc>
          <w:tcPr>
            <w:tcW w:w="2409" w:type="dxa"/>
          </w:tcPr>
          <w:p w:rsidR="001B13A0" w:rsidRDefault="003F39AC" w:rsidP="001B13A0">
            <w:r w:rsidRPr="00A744C2">
              <w:rPr>
                <w:sz w:val="20"/>
                <w:szCs w:val="20"/>
              </w:rPr>
              <w:t>Ohjaajien toiminnassa näkyy herkkyys ryhmän tai yksilön tarpeille (tilannetaju).</w:t>
            </w:r>
          </w:p>
        </w:tc>
        <w:tc>
          <w:tcPr>
            <w:tcW w:w="2067" w:type="dxa"/>
          </w:tcPr>
          <w:p w:rsidR="001B13A0" w:rsidRDefault="003F39AC" w:rsidP="001B13A0">
            <w:r w:rsidRPr="00A744C2">
              <w:rPr>
                <w:sz w:val="20"/>
                <w:szCs w:val="20"/>
              </w:rPr>
              <w:t>Ohjaajat kohtelevat nuoria tasapuolisesti. Aika ei kulu yhden ryhmän tai nuoren kanssa.</w:t>
            </w:r>
          </w:p>
        </w:tc>
        <w:tc>
          <w:tcPr>
            <w:tcW w:w="1897" w:type="dxa"/>
          </w:tcPr>
          <w:p w:rsidR="001B13A0" w:rsidRDefault="003F39AC" w:rsidP="001B13A0">
            <w:r w:rsidRPr="00A744C2">
              <w:rPr>
                <w:sz w:val="20"/>
                <w:szCs w:val="20"/>
              </w:rPr>
              <w:t>Ohjaajien aika kuluu pääosin yhden / tietyn nuorisoryhmän / nuorten kanssa.</w:t>
            </w:r>
          </w:p>
        </w:tc>
        <w:tc>
          <w:tcPr>
            <w:tcW w:w="1813" w:type="dxa"/>
          </w:tcPr>
          <w:p w:rsidR="001B13A0" w:rsidRDefault="003F39AC" w:rsidP="001B13A0">
            <w:r w:rsidRPr="00A744C2">
              <w:rPr>
                <w:sz w:val="20"/>
                <w:szCs w:val="20"/>
              </w:rPr>
              <w:t>Ohjaajat ovat keskenään ja saman ryhmän / nuoren kanssa.</w:t>
            </w:r>
          </w:p>
        </w:tc>
      </w:tr>
      <w:tr w:rsidR="0065464B" w:rsidTr="00187A86">
        <w:tc>
          <w:tcPr>
            <w:tcW w:w="1668" w:type="dxa"/>
          </w:tcPr>
          <w:p w:rsidR="0065464B" w:rsidRPr="00582DF0" w:rsidRDefault="0099734C" w:rsidP="0099734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65464B">
              <w:rPr>
                <w:sz w:val="20"/>
                <w:szCs w:val="20"/>
              </w:rPr>
              <w:t>Vuorovaikutukse</w:t>
            </w:r>
            <w:r w:rsidR="0065464B" w:rsidRPr="00582DF0">
              <w:rPr>
                <w:sz w:val="20"/>
                <w:szCs w:val="20"/>
              </w:rPr>
              <w:t xml:space="preserve">n aktiivisuus </w:t>
            </w:r>
          </w:p>
          <w:p w:rsidR="001B13A0" w:rsidRDefault="001B13A0" w:rsidP="0065464B">
            <w:pPr>
              <w:pStyle w:val="Luettelokappale"/>
            </w:pPr>
          </w:p>
        </w:tc>
        <w:tc>
          <w:tcPr>
            <w:tcW w:w="2409" w:type="dxa"/>
          </w:tcPr>
          <w:p w:rsidR="001B13A0" w:rsidRDefault="0065464B" w:rsidP="001B13A0">
            <w:r w:rsidRPr="00A744C2">
              <w:rPr>
                <w:sz w:val="20"/>
                <w:szCs w:val="20"/>
              </w:rPr>
              <w:t>Ohjaajat toimivat aloitteellisesti ja huomioivat kaikki tilassa olevat nuoret. Ohjaajat tukevat nuorten välistä keskustelua ja haastavat nuoret vuorovaikutustilanteisiin. Ohjaajilla ja nuorilla on luottamuksellinen vuorovaikutus.</w:t>
            </w:r>
          </w:p>
        </w:tc>
        <w:tc>
          <w:tcPr>
            <w:tcW w:w="2067" w:type="dxa"/>
          </w:tcPr>
          <w:p w:rsidR="001B13A0" w:rsidRDefault="0065464B" w:rsidP="001B13A0">
            <w:r w:rsidRPr="00A744C2">
              <w:rPr>
                <w:sz w:val="20"/>
                <w:szCs w:val="20"/>
              </w:rPr>
              <w:t>Ohjaajat ovat nuorten kanssa toiminnoissa mukana ja rakentavat vuorovaikutustilanteita. Ohjaajien ja nuorten välinen vuorovaikutus on luontevaa.</w:t>
            </w:r>
          </w:p>
        </w:tc>
        <w:tc>
          <w:tcPr>
            <w:tcW w:w="1897" w:type="dxa"/>
          </w:tcPr>
          <w:p w:rsidR="001B13A0" w:rsidRDefault="0065464B" w:rsidP="001B13A0">
            <w:r w:rsidRPr="00A744C2">
              <w:rPr>
                <w:sz w:val="20"/>
                <w:szCs w:val="20"/>
              </w:rPr>
              <w:t>Vuorovaikutustilanteissa korostuu ohjaajien auktoriteetti. Keskustelut syntyvät pääosin nuorten aloitteesta.</w:t>
            </w:r>
          </w:p>
        </w:tc>
        <w:tc>
          <w:tcPr>
            <w:tcW w:w="1813" w:type="dxa"/>
          </w:tcPr>
          <w:p w:rsidR="001B13A0" w:rsidRDefault="0065464B" w:rsidP="001B13A0">
            <w:r w:rsidRPr="00A744C2">
              <w:rPr>
                <w:sz w:val="20"/>
                <w:szCs w:val="20"/>
              </w:rPr>
              <w:t>Ohjaajat ovat passiivisia ja puuttuvat lähinnä ongelmatilanteisiin. Vuorovaikutus perustuu järjestyksen pitoon.</w:t>
            </w:r>
          </w:p>
        </w:tc>
      </w:tr>
      <w:tr w:rsidR="0065464B" w:rsidTr="00187A86">
        <w:tc>
          <w:tcPr>
            <w:tcW w:w="1668" w:type="dxa"/>
          </w:tcPr>
          <w:p w:rsidR="001B13A0" w:rsidRDefault="0099734C" w:rsidP="0099734C">
            <w:r>
              <w:rPr>
                <w:sz w:val="20"/>
                <w:szCs w:val="20"/>
              </w:rPr>
              <w:t>3)</w:t>
            </w:r>
            <w:r w:rsidR="0065464B" w:rsidRPr="0099734C">
              <w:rPr>
                <w:sz w:val="20"/>
                <w:szCs w:val="20"/>
              </w:rPr>
              <w:t>Nuorten kohtaaminen yksilöinä</w:t>
            </w:r>
          </w:p>
        </w:tc>
        <w:tc>
          <w:tcPr>
            <w:tcW w:w="2409" w:type="dxa"/>
          </w:tcPr>
          <w:p w:rsidR="001B13A0" w:rsidRDefault="00520822" w:rsidP="002A080F">
            <w:r w:rsidRPr="00A744C2">
              <w:rPr>
                <w:sz w:val="20"/>
                <w:szCs w:val="20"/>
              </w:rPr>
              <w:t xml:space="preserve">Nuorten elämäntilanne tunnetaan (perhe, ihmissuhteet, elämäntavat). </w:t>
            </w:r>
          </w:p>
        </w:tc>
        <w:tc>
          <w:tcPr>
            <w:tcW w:w="2067" w:type="dxa"/>
          </w:tcPr>
          <w:p w:rsidR="001B13A0" w:rsidRDefault="00520822" w:rsidP="002A080F">
            <w:r w:rsidRPr="00A744C2">
              <w:rPr>
                <w:sz w:val="20"/>
                <w:szCs w:val="20"/>
              </w:rPr>
              <w:t xml:space="preserve">Työyhteisössä on tietoa nuorista. Heidät tunnetaan ja tiedetään taustoja. (esim. koulu, kaverit ja harrastukset). </w:t>
            </w:r>
          </w:p>
        </w:tc>
        <w:tc>
          <w:tcPr>
            <w:tcW w:w="1897" w:type="dxa"/>
          </w:tcPr>
          <w:p w:rsidR="001B13A0" w:rsidRDefault="00520822" w:rsidP="002A080F">
            <w:r w:rsidRPr="00A744C2">
              <w:rPr>
                <w:sz w:val="20"/>
                <w:szCs w:val="20"/>
              </w:rPr>
              <w:t>Ohjaajat ovat aidosti kiinnostuneita nuorista. Osa nuorista tunnetaan nimeltä.</w:t>
            </w:r>
          </w:p>
        </w:tc>
        <w:tc>
          <w:tcPr>
            <w:tcW w:w="1813" w:type="dxa"/>
          </w:tcPr>
          <w:p w:rsidR="001B13A0" w:rsidRDefault="00520822" w:rsidP="002A080F">
            <w:r w:rsidRPr="00A744C2">
              <w:rPr>
                <w:sz w:val="20"/>
                <w:szCs w:val="20"/>
              </w:rPr>
              <w:t xml:space="preserve">Nuoria ei tunneta, ei tiedetä nimeä. </w:t>
            </w:r>
          </w:p>
        </w:tc>
      </w:tr>
      <w:tr w:rsidR="0065464B" w:rsidTr="00187A86">
        <w:tc>
          <w:tcPr>
            <w:tcW w:w="1668" w:type="dxa"/>
          </w:tcPr>
          <w:p w:rsidR="001B13A0" w:rsidRDefault="00F6282C" w:rsidP="001B13A0">
            <w:r>
              <w:t>4)</w:t>
            </w:r>
            <w:r w:rsidRPr="00A744C2">
              <w:rPr>
                <w:sz w:val="20"/>
                <w:szCs w:val="20"/>
              </w:rPr>
              <w:t>Sukupuolisensitiivisyys</w:t>
            </w:r>
          </w:p>
        </w:tc>
        <w:tc>
          <w:tcPr>
            <w:tcW w:w="2409" w:type="dxa"/>
          </w:tcPr>
          <w:p w:rsidR="001B13A0" w:rsidRDefault="00F6282C" w:rsidP="001B13A0">
            <w:r w:rsidRPr="00A744C2">
              <w:rPr>
                <w:sz w:val="20"/>
                <w:szCs w:val="20"/>
              </w:rPr>
              <w:t>Ohjaajien tietoisilla teoilla ylitetään kaavamaisia sukupuoliroolien rajoja.</w:t>
            </w:r>
          </w:p>
        </w:tc>
        <w:tc>
          <w:tcPr>
            <w:tcW w:w="2067" w:type="dxa"/>
          </w:tcPr>
          <w:p w:rsidR="001B13A0" w:rsidRDefault="00F6282C" w:rsidP="001B13A0">
            <w:r w:rsidRPr="00A744C2">
              <w:rPr>
                <w:sz w:val="20"/>
                <w:szCs w:val="20"/>
              </w:rPr>
              <w:t>Ohjaajien toiminta mahdollistaa sen, että kaikilla nuorilla on fyysistä ja henkistä tilaa toimia talolla yhdenvertaisesti.</w:t>
            </w:r>
          </w:p>
        </w:tc>
        <w:tc>
          <w:tcPr>
            <w:tcW w:w="1897" w:type="dxa"/>
          </w:tcPr>
          <w:p w:rsidR="001B13A0" w:rsidRDefault="00F6282C" w:rsidP="001B13A0">
            <w:r w:rsidRPr="00A744C2">
              <w:rPr>
                <w:sz w:val="20"/>
                <w:szCs w:val="20"/>
              </w:rPr>
              <w:t>Toiminta on suunniteltu niin, että se on houkuttelevaa tytöille ja pojille.</w:t>
            </w:r>
          </w:p>
        </w:tc>
        <w:tc>
          <w:tcPr>
            <w:tcW w:w="1813" w:type="dxa"/>
          </w:tcPr>
          <w:p w:rsidR="00F6282C" w:rsidRPr="00A744C2" w:rsidRDefault="00F6282C" w:rsidP="00F6282C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Toiminnan suunnittelussa ja toteuttamisessa ei ole mietitty sukupuolisensitiivisyyttä.</w:t>
            </w:r>
          </w:p>
          <w:p w:rsidR="001B13A0" w:rsidRDefault="001B13A0" w:rsidP="001B13A0"/>
        </w:tc>
      </w:tr>
      <w:tr w:rsidR="00F6282C" w:rsidTr="00187A86">
        <w:tc>
          <w:tcPr>
            <w:tcW w:w="1668" w:type="dxa"/>
          </w:tcPr>
          <w:p w:rsidR="00F6282C" w:rsidRPr="00582DF0" w:rsidRDefault="00F6282C" w:rsidP="00F6282C">
            <w:pPr>
              <w:spacing w:beforeLines="40" w:before="96"/>
              <w:rPr>
                <w:sz w:val="20"/>
                <w:szCs w:val="20"/>
              </w:rPr>
            </w:pPr>
            <w:r>
              <w:t>5)</w:t>
            </w:r>
            <w:r w:rsidRPr="00582DF0">
              <w:rPr>
                <w:sz w:val="20"/>
                <w:szCs w:val="20"/>
              </w:rPr>
              <w:t>Rasisminvastaisuus</w:t>
            </w:r>
          </w:p>
          <w:p w:rsidR="00F6282C" w:rsidRDefault="00F6282C" w:rsidP="001B13A0"/>
        </w:tc>
        <w:tc>
          <w:tcPr>
            <w:tcW w:w="2409" w:type="dxa"/>
          </w:tcPr>
          <w:p w:rsidR="00F6282C" w:rsidRPr="00A744C2" w:rsidRDefault="00F6282C" w:rsidP="00F93E7F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Ohjaajien työstä heijastuu aktiivinen rasisminvastainen työote. Toiminnan suunnitellussa ja toteutuksessa rasisminvastaisuutta edistetään tavoitteellisesti.</w:t>
            </w:r>
          </w:p>
        </w:tc>
        <w:tc>
          <w:tcPr>
            <w:tcW w:w="2067" w:type="dxa"/>
          </w:tcPr>
          <w:p w:rsidR="00F6282C" w:rsidRDefault="00F6282C" w:rsidP="001B13A0">
            <w:r w:rsidRPr="00A744C2">
              <w:rPr>
                <w:sz w:val="20"/>
                <w:szCs w:val="20"/>
              </w:rPr>
              <w:t>Ohjaajilla on herkkyyttä tunnistaa rasistista toimintaa, esimerkiksi tunnetaan keskeisiä rasistiseen toimintaan liittyviä symboleita. Ohjaajilla on valmiutta ja halukkuutta käydä keskusteluja rasismista nuorten kanssa sekä tukea rasismia kohdanneita nuoria.</w:t>
            </w:r>
          </w:p>
        </w:tc>
        <w:tc>
          <w:tcPr>
            <w:tcW w:w="1897" w:type="dxa"/>
          </w:tcPr>
          <w:p w:rsidR="00F6282C" w:rsidRDefault="00187A86" w:rsidP="001B13A0">
            <w:r w:rsidRPr="00A744C2">
              <w:rPr>
                <w:sz w:val="20"/>
                <w:szCs w:val="20"/>
              </w:rPr>
              <w:t>Rasistiseen toimintaan ja puheeseen puututaan. Työyhteisöllä on yhteiset pelisäännöt rasistiseen puheeseen ja toimintaan puuttumisessa. Nuoret tuntevat linjaukset</w:t>
            </w:r>
          </w:p>
        </w:tc>
        <w:tc>
          <w:tcPr>
            <w:tcW w:w="1813" w:type="dxa"/>
          </w:tcPr>
          <w:p w:rsidR="00F6282C" w:rsidRDefault="00187A86" w:rsidP="001B13A0">
            <w:r w:rsidRPr="00A744C2">
              <w:rPr>
                <w:sz w:val="20"/>
                <w:szCs w:val="20"/>
              </w:rPr>
              <w:t>Rasistiseen puheeseen ja toimintaan puututaan vain ylilyöntitilanteissa.</w:t>
            </w:r>
          </w:p>
        </w:tc>
      </w:tr>
      <w:tr w:rsidR="00F6282C" w:rsidTr="00187A86">
        <w:tc>
          <w:tcPr>
            <w:tcW w:w="1668" w:type="dxa"/>
          </w:tcPr>
          <w:p w:rsidR="00187A86" w:rsidRPr="00582DF0" w:rsidRDefault="00187A86" w:rsidP="00187A86">
            <w:pPr>
              <w:spacing w:before="80"/>
              <w:rPr>
                <w:sz w:val="20"/>
                <w:szCs w:val="20"/>
              </w:rPr>
            </w:pPr>
            <w:r>
              <w:t xml:space="preserve">6) </w:t>
            </w:r>
            <w:r w:rsidRPr="00582DF0">
              <w:rPr>
                <w:sz w:val="20"/>
                <w:szCs w:val="20"/>
              </w:rPr>
              <w:t>Etninen yhdenvertaisuus</w:t>
            </w:r>
          </w:p>
          <w:p w:rsidR="00187A86" w:rsidRPr="00582DF0" w:rsidRDefault="00187A86" w:rsidP="00187A86">
            <w:pPr>
              <w:ind w:left="360"/>
              <w:rPr>
                <w:sz w:val="20"/>
                <w:szCs w:val="20"/>
              </w:rPr>
            </w:pPr>
          </w:p>
          <w:p w:rsidR="00F6282C" w:rsidRDefault="00F6282C" w:rsidP="00187A86"/>
        </w:tc>
        <w:tc>
          <w:tcPr>
            <w:tcW w:w="2409" w:type="dxa"/>
          </w:tcPr>
          <w:p w:rsidR="00F6282C" w:rsidRDefault="00187A86" w:rsidP="001B13A0">
            <w:r w:rsidRPr="00A744C2">
              <w:rPr>
                <w:sz w:val="20"/>
                <w:szCs w:val="20"/>
              </w:rPr>
              <w:t>Toiminta tukee luontevaa vuorovaikutusta nuorten välillä.</w:t>
            </w:r>
          </w:p>
        </w:tc>
        <w:tc>
          <w:tcPr>
            <w:tcW w:w="2067" w:type="dxa"/>
          </w:tcPr>
          <w:p w:rsidR="00187A86" w:rsidRPr="00A744C2" w:rsidRDefault="00187A86" w:rsidP="00187A86">
            <w:pPr>
              <w:spacing w:before="80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Taloa voi kuvata monikulttuuriseksi ja etnisten ryhmien välistä kanssakäymistä voi kuvata sopuisana </w:t>
            </w:r>
            <w:r w:rsidRPr="00A744C2">
              <w:rPr>
                <w:sz w:val="20"/>
                <w:szCs w:val="20"/>
              </w:rPr>
              <w:lastRenderedPageBreak/>
              <w:t xml:space="preserve">yhteiselona. </w:t>
            </w:r>
          </w:p>
          <w:p w:rsidR="00F6282C" w:rsidRDefault="00F6282C" w:rsidP="001B13A0"/>
        </w:tc>
        <w:tc>
          <w:tcPr>
            <w:tcW w:w="1897" w:type="dxa"/>
          </w:tcPr>
          <w:p w:rsidR="00187A86" w:rsidRPr="00A744C2" w:rsidRDefault="00187A86" w:rsidP="00187A86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 xml:space="preserve">Talolla käy pääasiassa yksi etninen ryhmä. Muut ryhmät ovat ”siedettyjä”. </w:t>
            </w:r>
          </w:p>
          <w:p w:rsidR="00F6282C" w:rsidRDefault="00F6282C" w:rsidP="001B13A0"/>
        </w:tc>
        <w:tc>
          <w:tcPr>
            <w:tcW w:w="1813" w:type="dxa"/>
          </w:tcPr>
          <w:p w:rsidR="00187A86" w:rsidRPr="00A744C2" w:rsidRDefault="00187A86" w:rsidP="00187A86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 xml:space="preserve">Taloa käyttävät nuoret kuuluvat samaan etniseen ryhmään, vaikka alue on </w:t>
            </w:r>
            <w:r w:rsidRPr="00A744C2">
              <w:rPr>
                <w:sz w:val="20"/>
                <w:szCs w:val="20"/>
              </w:rPr>
              <w:lastRenderedPageBreak/>
              <w:t>monikulttuurinen. Yliedustusta ei problematisoida.</w:t>
            </w:r>
          </w:p>
          <w:p w:rsidR="00F6282C" w:rsidRDefault="00F6282C" w:rsidP="001B13A0"/>
        </w:tc>
      </w:tr>
      <w:tr w:rsidR="00F6282C" w:rsidTr="00187A86">
        <w:tc>
          <w:tcPr>
            <w:tcW w:w="1668" w:type="dxa"/>
          </w:tcPr>
          <w:p w:rsidR="00F6282C" w:rsidRDefault="00CB78AB" w:rsidP="001B13A0">
            <w:r>
              <w:lastRenderedPageBreak/>
              <w:t>7)Säännöt</w:t>
            </w:r>
          </w:p>
        </w:tc>
        <w:tc>
          <w:tcPr>
            <w:tcW w:w="2409" w:type="dxa"/>
          </w:tcPr>
          <w:p w:rsidR="00F6282C" w:rsidRDefault="00CB78AB" w:rsidP="001B13A0">
            <w:r w:rsidRPr="00A744C2">
              <w:rPr>
                <w:sz w:val="20"/>
                <w:szCs w:val="20"/>
              </w:rPr>
              <w:t>Talon säännöt päivitetään säännöllisesti yhdessä nuorten kanssa. Sääntöjen kirjoittamiseen on panostettu ja sanamuotoja mietitty. Säännöt kuvastavat talon toimintakulttuuria.</w:t>
            </w:r>
          </w:p>
        </w:tc>
        <w:tc>
          <w:tcPr>
            <w:tcW w:w="2067" w:type="dxa"/>
          </w:tcPr>
          <w:p w:rsidR="00F6282C" w:rsidRDefault="00CB78AB" w:rsidP="001B13A0">
            <w:r w:rsidRPr="00A744C2">
              <w:rPr>
                <w:sz w:val="20"/>
                <w:szCs w:val="20"/>
              </w:rPr>
              <w:t>Talolla on yhdessä nuorten kanssa kirjoitetut säännöt ja ne ovat esillä. Toimintaan mukaan tulevat uudet nuoret perehdytetään toimintatapoihin.</w:t>
            </w:r>
          </w:p>
        </w:tc>
        <w:tc>
          <w:tcPr>
            <w:tcW w:w="1897" w:type="dxa"/>
          </w:tcPr>
          <w:p w:rsidR="00F6282C" w:rsidRDefault="00CB78AB" w:rsidP="001B13A0">
            <w:r w:rsidRPr="00A744C2">
              <w:rPr>
                <w:sz w:val="20"/>
                <w:szCs w:val="20"/>
              </w:rPr>
              <w:t>Ohjaajat ovat laatineet talolle säännöt, pystyvät perustelemaan ne ja kohtelevat nuoria yhdenvertaisesti.</w:t>
            </w:r>
          </w:p>
        </w:tc>
        <w:tc>
          <w:tcPr>
            <w:tcW w:w="1813" w:type="dxa"/>
          </w:tcPr>
          <w:p w:rsidR="00F6282C" w:rsidRDefault="00CB78AB" w:rsidP="001B13A0">
            <w:r w:rsidRPr="00A744C2">
              <w:rPr>
                <w:sz w:val="20"/>
                <w:szCs w:val="20"/>
              </w:rPr>
              <w:t>Ohjaajat ovat laatineet talolle säännöt, mutta niiden tulkinnassa on erilaisia näkökulmia.</w:t>
            </w:r>
          </w:p>
        </w:tc>
      </w:tr>
    </w:tbl>
    <w:p w:rsidR="00146938" w:rsidRDefault="00146938" w:rsidP="001B13A0">
      <w:pPr>
        <w:pBdr>
          <w:bottom w:val="single" w:sz="4" w:space="1" w:color="auto"/>
        </w:pBd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2127"/>
        <w:gridCol w:w="1842"/>
        <w:gridCol w:w="1733"/>
      </w:tblGrid>
      <w:tr w:rsidR="00CB78AB" w:rsidTr="00CB78AB">
        <w:tc>
          <w:tcPr>
            <w:tcW w:w="1668" w:type="dxa"/>
          </w:tcPr>
          <w:p w:rsidR="00CB78AB" w:rsidRPr="00A744C2" w:rsidRDefault="00CB78AB" w:rsidP="00CB78AB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t>8)</w:t>
            </w:r>
            <w:r w:rsidRPr="00A744C2">
              <w:rPr>
                <w:sz w:val="20"/>
                <w:szCs w:val="20"/>
              </w:rPr>
              <w:t xml:space="preserve"> Käytös- ja puhekulttuuri</w:t>
            </w:r>
          </w:p>
          <w:p w:rsidR="00CB78AB" w:rsidRDefault="00CB78AB" w:rsidP="001B13A0"/>
        </w:tc>
        <w:tc>
          <w:tcPr>
            <w:tcW w:w="2409" w:type="dxa"/>
          </w:tcPr>
          <w:p w:rsidR="00CB78AB" w:rsidRDefault="00CB78AB" w:rsidP="001B13A0">
            <w:r w:rsidRPr="00A744C2">
              <w:rPr>
                <w:sz w:val="20"/>
                <w:szCs w:val="20"/>
              </w:rPr>
              <w:t>Toimipaikassa on kunnioittava ja kohtelias puhe- ja käytöskulttuuri, joka näkyy siinä, että ohjaajien lisäksi nuoret puuttuvat epäasialliseen käytökseen.</w:t>
            </w:r>
          </w:p>
        </w:tc>
        <w:tc>
          <w:tcPr>
            <w:tcW w:w="2127" w:type="dxa"/>
          </w:tcPr>
          <w:p w:rsidR="00CB78AB" w:rsidRDefault="00CB78AB" w:rsidP="001B13A0">
            <w:r w:rsidRPr="00A744C2">
              <w:rPr>
                <w:sz w:val="20"/>
                <w:szCs w:val="20"/>
              </w:rPr>
              <w:t>Ohjaajien läsnä ollessa nuorten välinen puhekulttuuri on toista kunnioittavaa. Ohjaajien ”lempeä katse riittää” muistuttamaan nuoria käytöksestä.</w:t>
            </w:r>
          </w:p>
        </w:tc>
        <w:tc>
          <w:tcPr>
            <w:tcW w:w="1842" w:type="dxa"/>
          </w:tcPr>
          <w:p w:rsidR="00CB78AB" w:rsidRDefault="00CB78AB" w:rsidP="001B13A0">
            <w:r w:rsidRPr="00A744C2">
              <w:rPr>
                <w:sz w:val="20"/>
                <w:szCs w:val="20"/>
              </w:rPr>
              <w:t>Epäasialliseen kielenkäyttöön ja käytökseen puututaan vain käskyin ja kielloin. Nuorten ja ohjaajien välinen puhekulttuuri ei ole kehittynyt.</w:t>
            </w:r>
          </w:p>
        </w:tc>
        <w:tc>
          <w:tcPr>
            <w:tcW w:w="1732" w:type="dxa"/>
          </w:tcPr>
          <w:p w:rsidR="00CB78AB" w:rsidRDefault="00CB78AB" w:rsidP="001B13A0">
            <w:r w:rsidRPr="00A744C2">
              <w:rPr>
                <w:sz w:val="20"/>
                <w:szCs w:val="20"/>
              </w:rPr>
              <w:t>Epäasialliseen kielenkäyttöön ja käytökseen puututaan ainoastaan ylilyöntitilanteissa. Ohjaajien linja ei ole yhtenäinen. Ohjaaja ei ymmärrä oman käyttäytymisen (mallin) merkitystä.</w:t>
            </w:r>
          </w:p>
        </w:tc>
      </w:tr>
    </w:tbl>
    <w:p w:rsidR="00CB78AB" w:rsidRDefault="00CB78AB" w:rsidP="001B13A0">
      <w:pPr>
        <w:pBdr>
          <w:bottom w:val="single" w:sz="4" w:space="1" w:color="auto"/>
        </w:pBdr>
      </w:pPr>
    </w:p>
    <w:p w:rsidR="005A60AA" w:rsidRDefault="00CB78AB" w:rsidP="001B13A0">
      <w:pPr>
        <w:pBdr>
          <w:bottom w:val="single" w:sz="4" w:space="1" w:color="auto"/>
        </w:pBdr>
      </w:pPr>
      <w:r>
        <w:t>Nuorten toiminta</w:t>
      </w:r>
      <w:r w:rsidR="005A60AA">
        <w:t xml:space="preserve">                                 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127"/>
        <w:gridCol w:w="1842"/>
        <w:gridCol w:w="1808"/>
      </w:tblGrid>
      <w:tr w:rsidR="0032522A" w:rsidTr="00B47B9D">
        <w:tc>
          <w:tcPr>
            <w:tcW w:w="1668" w:type="dxa"/>
          </w:tcPr>
          <w:p w:rsidR="00B47B9D" w:rsidRPr="00582DF0" w:rsidRDefault="00B47B9D" w:rsidP="00B47B9D">
            <w:pPr>
              <w:spacing w:beforeLines="40" w:before="96"/>
              <w:rPr>
                <w:sz w:val="20"/>
                <w:szCs w:val="20"/>
              </w:rPr>
            </w:pPr>
            <w:r>
              <w:t xml:space="preserve">9) </w:t>
            </w:r>
            <w:r w:rsidRPr="00582DF0">
              <w:rPr>
                <w:sz w:val="20"/>
                <w:szCs w:val="20"/>
              </w:rPr>
              <w:t>Osallisuuden laajuus</w:t>
            </w:r>
          </w:p>
          <w:p w:rsidR="0032522A" w:rsidRDefault="0032522A" w:rsidP="001B13A0"/>
        </w:tc>
        <w:tc>
          <w:tcPr>
            <w:tcW w:w="2409" w:type="dxa"/>
          </w:tcPr>
          <w:p w:rsidR="0032522A" w:rsidRDefault="00B47B9D" w:rsidP="001B13A0">
            <w:r w:rsidRPr="00A744C2">
              <w:rPr>
                <w:sz w:val="20"/>
                <w:szCs w:val="20"/>
              </w:rPr>
              <w:t>Nuoret ja ohjaajat suunnittelevat, toteuttavat ja arvioivat toimintaa yhdessä.</w:t>
            </w:r>
          </w:p>
        </w:tc>
        <w:tc>
          <w:tcPr>
            <w:tcW w:w="2127" w:type="dxa"/>
          </w:tcPr>
          <w:p w:rsidR="0032522A" w:rsidRDefault="00B47B9D" w:rsidP="001B13A0">
            <w:r w:rsidRPr="00A744C2">
              <w:rPr>
                <w:sz w:val="20"/>
                <w:szCs w:val="20"/>
              </w:rPr>
              <w:t>Nuorille annetaan vastuuta ja heillä on keskeinen rooli toiminnan toteuttamisessa.</w:t>
            </w:r>
          </w:p>
        </w:tc>
        <w:tc>
          <w:tcPr>
            <w:tcW w:w="1842" w:type="dxa"/>
          </w:tcPr>
          <w:p w:rsidR="0032522A" w:rsidRDefault="00B47B9D" w:rsidP="001B13A0">
            <w:r w:rsidRPr="00A744C2">
              <w:rPr>
                <w:sz w:val="20"/>
                <w:szCs w:val="20"/>
              </w:rPr>
              <w:t>Nuoret ja työntekijät ideoivat ja suunnittelevat toimintaa yhdessä. Nuoret osallistuvat toiminnan toteutukseen satunnaisesti.</w:t>
            </w:r>
          </w:p>
        </w:tc>
        <w:tc>
          <w:tcPr>
            <w:tcW w:w="1808" w:type="dxa"/>
          </w:tcPr>
          <w:p w:rsidR="00B47B9D" w:rsidRPr="00A744C2" w:rsidRDefault="00B47B9D" w:rsidP="00B47B9D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Nuoret esittävät spontaanisti ideoita nuorten iltoihin.</w:t>
            </w:r>
          </w:p>
          <w:p w:rsidR="0032522A" w:rsidRDefault="0032522A" w:rsidP="001B13A0"/>
        </w:tc>
      </w:tr>
      <w:tr w:rsidR="0032522A" w:rsidTr="00B47B9D">
        <w:tc>
          <w:tcPr>
            <w:tcW w:w="1668" w:type="dxa"/>
          </w:tcPr>
          <w:p w:rsidR="0032522A" w:rsidRDefault="00B47B9D" w:rsidP="001B13A0">
            <w:r>
              <w:t>10)</w:t>
            </w:r>
            <w:r w:rsidRPr="00582DF0">
              <w:rPr>
                <w:sz w:val="20"/>
                <w:szCs w:val="20"/>
              </w:rPr>
              <w:t xml:space="preserve"> Päätöksentekorakenne</w:t>
            </w:r>
          </w:p>
        </w:tc>
        <w:tc>
          <w:tcPr>
            <w:tcW w:w="2409" w:type="dxa"/>
          </w:tcPr>
          <w:p w:rsidR="0032522A" w:rsidRDefault="00B47B9D" w:rsidP="001B13A0">
            <w:r w:rsidRPr="00A744C2">
              <w:rPr>
                <w:sz w:val="20"/>
                <w:szCs w:val="20"/>
              </w:rPr>
              <w:t>Osallisuustoimintaan liittyvät rakenteet ja järjestelmät on luotu yhdessä ja niitä kehitetään jatkuvasti yhdessä nuorten kanssa</w:t>
            </w:r>
          </w:p>
        </w:tc>
        <w:tc>
          <w:tcPr>
            <w:tcW w:w="2127" w:type="dxa"/>
          </w:tcPr>
          <w:p w:rsidR="0032522A" w:rsidRDefault="00B15F6B" w:rsidP="001B13A0">
            <w:r w:rsidRPr="00A744C2">
              <w:rPr>
                <w:sz w:val="20"/>
                <w:szCs w:val="20"/>
              </w:rPr>
              <w:t>Osallisuustoiminta tapahtuu avoimesti ja demokraattisesti (esim. kokousajankohdat ja muistiot ovat esillä). Nuoret osaavat hyödyntää rakennetta.</w:t>
            </w:r>
          </w:p>
        </w:tc>
        <w:tc>
          <w:tcPr>
            <w:tcW w:w="1842" w:type="dxa"/>
          </w:tcPr>
          <w:p w:rsidR="00B15F6B" w:rsidRPr="00A744C2" w:rsidRDefault="00B15F6B" w:rsidP="00B15F6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Osallisuustoiminnalle on luotu rakenne, esim. talotoimikunnat, talokokoukset, osallisuusryhmät, ja tuntevat sen.</w:t>
            </w:r>
          </w:p>
          <w:p w:rsidR="0032522A" w:rsidRDefault="0032522A" w:rsidP="001B13A0"/>
        </w:tc>
        <w:tc>
          <w:tcPr>
            <w:tcW w:w="1808" w:type="dxa"/>
          </w:tcPr>
          <w:p w:rsidR="0032522A" w:rsidRDefault="00B15F6B" w:rsidP="001B13A0">
            <w:r w:rsidRPr="00A744C2">
              <w:rPr>
                <w:sz w:val="20"/>
                <w:szCs w:val="20"/>
              </w:rPr>
              <w:t xml:space="preserve">Osallisuustoiminnalla ei ole selkeää rakennetta ja se on satunnaista.  </w:t>
            </w:r>
          </w:p>
        </w:tc>
      </w:tr>
      <w:tr w:rsidR="0032522A" w:rsidTr="00B47B9D">
        <w:tc>
          <w:tcPr>
            <w:tcW w:w="1668" w:type="dxa"/>
          </w:tcPr>
          <w:p w:rsidR="00B15F6B" w:rsidRPr="00582DF0" w:rsidRDefault="00B15F6B" w:rsidP="00B15F6B">
            <w:pPr>
              <w:spacing w:beforeLines="40" w:before="96"/>
              <w:rPr>
                <w:sz w:val="20"/>
                <w:szCs w:val="20"/>
              </w:rPr>
            </w:pPr>
            <w:r>
              <w:t>11)</w:t>
            </w:r>
            <w:r w:rsidRPr="00582DF0">
              <w:rPr>
                <w:sz w:val="20"/>
                <w:szCs w:val="20"/>
              </w:rPr>
              <w:t xml:space="preserve"> Nuorten osallistuminen viestintään</w:t>
            </w:r>
          </w:p>
          <w:p w:rsidR="0032522A" w:rsidRDefault="0032522A" w:rsidP="001B13A0"/>
        </w:tc>
        <w:tc>
          <w:tcPr>
            <w:tcW w:w="2409" w:type="dxa"/>
          </w:tcPr>
          <w:p w:rsidR="0032522A" w:rsidRDefault="00B15F6B" w:rsidP="001B13A0">
            <w:r w:rsidRPr="00A744C2">
              <w:rPr>
                <w:sz w:val="20"/>
                <w:szCs w:val="20"/>
              </w:rPr>
              <w:t xml:space="preserve">Toiminnasta viestittämisessä nuorilla on keskeinen rooli. Nuoret ovat järjestäytyneesti vastuussa viestinnästä ja osaavat hyödyntää sen erilaisia kanavia ja välineitä (mm. verkko, </w:t>
            </w:r>
            <w:r w:rsidRPr="00A744C2">
              <w:rPr>
                <w:sz w:val="20"/>
                <w:szCs w:val="20"/>
              </w:rPr>
              <w:lastRenderedPageBreak/>
              <w:t>”puskaradio”, tekstiviestit, vierailut).</w:t>
            </w:r>
          </w:p>
        </w:tc>
        <w:tc>
          <w:tcPr>
            <w:tcW w:w="2127" w:type="dxa"/>
          </w:tcPr>
          <w:p w:rsidR="00B15F6B" w:rsidRPr="00A744C2" w:rsidRDefault="00B15F6B" w:rsidP="00B15F6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 xml:space="preserve">Nuorilla on vastuuta viestinnän sisältöjen ja ilmeen tuottamisessa. Nuorilla on rooli tiedotus-kanavien valitsemisessa. </w:t>
            </w:r>
          </w:p>
          <w:p w:rsidR="0032522A" w:rsidRDefault="0032522A" w:rsidP="001B13A0"/>
        </w:tc>
        <w:tc>
          <w:tcPr>
            <w:tcW w:w="1842" w:type="dxa"/>
          </w:tcPr>
          <w:p w:rsidR="0032522A" w:rsidRDefault="00B15F6B" w:rsidP="001B13A0">
            <w:r w:rsidRPr="00A744C2">
              <w:rPr>
                <w:sz w:val="20"/>
                <w:szCs w:val="20"/>
              </w:rPr>
              <w:t>Yksittäiset nuoret ovat mukana joidenkin toimintojen tiedottamisessa.</w:t>
            </w:r>
          </w:p>
        </w:tc>
        <w:tc>
          <w:tcPr>
            <w:tcW w:w="1808" w:type="dxa"/>
          </w:tcPr>
          <w:p w:rsidR="00B15F6B" w:rsidRPr="00A744C2" w:rsidRDefault="00B15F6B" w:rsidP="00B15F6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Nuoret osallistuvat toimintaa esittelevän materiaalin tekemiseen satunnaisesti. </w:t>
            </w:r>
          </w:p>
          <w:p w:rsidR="0032522A" w:rsidRDefault="0032522A" w:rsidP="001B13A0"/>
        </w:tc>
      </w:tr>
      <w:tr w:rsidR="0032522A" w:rsidTr="00B47B9D">
        <w:tc>
          <w:tcPr>
            <w:tcW w:w="1668" w:type="dxa"/>
          </w:tcPr>
          <w:p w:rsidR="0032522A" w:rsidRDefault="00983171" w:rsidP="001B13A0">
            <w:r>
              <w:lastRenderedPageBreak/>
              <w:t>12)</w:t>
            </w:r>
            <w:r w:rsidRPr="00582DF0">
              <w:rPr>
                <w:sz w:val="20"/>
                <w:szCs w:val="20"/>
              </w:rPr>
              <w:t>Vertaistoiminta</w:t>
            </w:r>
          </w:p>
        </w:tc>
        <w:tc>
          <w:tcPr>
            <w:tcW w:w="2409" w:type="dxa"/>
          </w:tcPr>
          <w:p w:rsidR="0032522A" w:rsidRDefault="00983171" w:rsidP="001B13A0">
            <w:r w:rsidRPr="00A744C2">
              <w:rPr>
                <w:sz w:val="20"/>
                <w:szCs w:val="20"/>
              </w:rPr>
              <w:t>Vertaistoiminta on vakiintunutta. Nuorilla on rooli kouluttajina. Nuorten omia osaamisalueita hyödynnetään.</w:t>
            </w:r>
          </w:p>
        </w:tc>
        <w:tc>
          <w:tcPr>
            <w:tcW w:w="2127" w:type="dxa"/>
          </w:tcPr>
          <w:p w:rsidR="0032522A" w:rsidRDefault="00983171" w:rsidP="001B13A0">
            <w:r w:rsidRPr="00A744C2">
              <w:rPr>
                <w:sz w:val="20"/>
                <w:szCs w:val="20"/>
              </w:rPr>
              <w:t>Nuoret osallistuvat vertaistoiminta koulutukseen ja vertaistoiminta on suunnitelmallista.</w:t>
            </w:r>
          </w:p>
        </w:tc>
        <w:tc>
          <w:tcPr>
            <w:tcW w:w="1842" w:type="dxa"/>
          </w:tcPr>
          <w:p w:rsidR="0032522A" w:rsidRDefault="00983171" w:rsidP="001B13A0">
            <w:r w:rsidRPr="00A744C2">
              <w:rPr>
                <w:sz w:val="20"/>
                <w:szCs w:val="20"/>
              </w:rPr>
              <w:t>Tilalla toimii nuoria vertaisohjaajina, mutta heitä ei ole koulutettu. Vertaistoiminta on satunnaista.</w:t>
            </w:r>
          </w:p>
        </w:tc>
        <w:tc>
          <w:tcPr>
            <w:tcW w:w="1808" w:type="dxa"/>
          </w:tcPr>
          <w:p w:rsidR="0032522A" w:rsidRDefault="00983171" w:rsidP="001B13A0">
            <w:r w:rsidRPr="00A744C2">
              <w:rPr>
                <w:sz w:val="20"/>
                <w:szCs w:val="20"/>
              </w:rPr>
              <w:t>Järjestelmällistä vertaistoimintaa ei ole.</w:t>
            </w:r>
          </w:p>
        </w:tc>
      </w:tr>
      <w:tr w:rsidR="0032522A" w:rsidTr="00B47B9D">
        <w:tc>
          <w:tcPr>
            <w:tcW w:w="1668" w:type="dxa"/>
          </w:tcPr>
          <w:p w:rsidR="00983171" w:rsidRPr="00A744C2" w:rsidRDefault="00983171" w:rsidP="00983171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t xml:space="preserve">13) </w:t>
            </w:r>
            <w:r w:rsidRPr="00A744C2">
              <w:rPr>
                <w:sz w:val="20"/>
                <w:szCs w:val="20"/>
              </w:rPr>
              <w:t>Nuorten työnjako, kuormittavuus</w:t>
            </w:r>
          </w:p>
          <w:p w:rsidR="0032522A" w:rsidRDefault="0032522A" w:rsidP="001B13A0"/>
        </w:tc>
        <w:tc>
          <w:tcPr>
            <w:tcW w:w="2409" w:type="dxa"/>
          </w:tcPr>
          <w:p w:rsidR="00983171" w:rsidRPr="00A744C2" w:rsidRDefault="00983171" w:rsidP="00983171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Talolla toimii nuorten ryhmiä, jotka ovat keskenään vuorovaikutuksessa ja ovat sitoutuneita omiin vastuualueisiinsa.</w:t>
            </w:r>
          </w:p>
          <w:p w:rsidR="0032522A" w:rsidRDefault="0032522A" w:rsidP="001B13A0"/>
        </w:tc>
        <w:tc>
          <w:tcPr>
            <w:tcW w:w="2127" w:type="dxa"/>
          </w:tcPr>
          <w:p w:rsidR="0032522A" w:rsidRDefault="00983171" w:rsidP="001B13A0">
            <w:r w:rsidRPr="00A744C2">
              <w:rPr>
                <w:sz w:val="20"/>
                <w:szCs w:val="20"/>
              </w:rPr>
              <w:t>Tehtävät jakaantuvat monille eri nuorille.</w:t>
            </w:r>
          </w:p>
        </w:tc>
        <w:tc>
          <w:tcPr>
            <w:tcW w:w="1842" w:type="dxa"/>
          </w:tcPr>
          <w:p w:rsidR="0032522A" w:rsidRDefault="00983171" w:rsidP="001B13A0">
            <w:r w:rsidRPr="00A744C2">
              <w:rPr>
                <w:sz w:val="20"/>
                <w:szCs w:val="20"/>
              </w:rPr>
              <w:t>Talolla toimii yksi nuorten työryhmä, joka osallistuu kaikkeen tekemiseen kuten tapahtumien suunnitteluun ja toteutukseen</w:t>
            </w:r>
          </w:p>
        </w:tc>
        <w:tc>
          <w:tcPr>
            <w:tcW w:w="1808" w:type="dxa"/>
          </w:tcPr>
          <w:p w:rsidR="00983171" w:rsidRPr="00A744C2" w:rsidRDefault="00983171" w:rsidP="00983171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Tapahtumien ja toimintojen suunnittelu ja toteutus on tiettyjen yksittäisten nuorten vastuulla.</w:t>
            </w:r>
          </w:p>
          <w:p w:rsidR="0032522A" w:rsidRDefault="0032522A" w:rsidP="001B13A0"/>
        </w:tc>
      </w:tr>
      <w:tr w:rsidR="0032522A" w:rsidTr="00B47B9D">
        <w:tc>
          <w:tcPr>
            <w:tcW w:w="1668" w:type="dxa"/>
          </w:tcPr>
          <w:p w:rsidR="00A42A2C" w:rsidRPr="00A744C2" w:rsidRDefault="00A42A2C" w:rsidP="00A42A2C">
            <w:pPr>
              <w:spacing w:beforeLines="40" w:before="96"/>
              <w:rPr>
                <w:sz w:val="20"/>
                <w:szCs w:val="20"/>
              </w:rPr>
            </w:pPr>
            <w:r>
              <w:t>14)</w:t>
            </w:r>
            <w:r w:rsidRPr="00A744C2">
              <w:rPr>
                <w:sz w:val="20"/>
                <w:szCs w:val="20"/>
              </w:rPr>
              <w:t xml:space="preserve"> Nuorten välinen vuorovaikutus</w:t>
            </w:r>
          </w:p>
          <w:p w:rsidR="0032522A" w:rsidRDefault="0032522A" w:rsidP="001B13A0"/>
        </w:tc>
        <w:tc>
          <w:tcPr>
            <w:tcW w:w="2409" w:type="dxa"/>
          </w:tcPr>
          <w:p w:rsidR="0032522A" w:rsidRDefault="00A42A2C" w:rsidP="001B13A0">
            <w:r w:rsidRPr="00A744C2">
              <w:rPr>
                <w:sz w:val="20"/>
                <w:szCs w:val="20"/>
              </w:rPr>
              <w:t>Nuorten välinen vuorovaikutus on aktiivista. Uudet nuoret otetaan tasaveroisina toimintaan mukaan. Nuorilla on mahdollisuus löytää tai rakentaa itselleen merkityksellinen yhteisö.</w:t>
            </w:r>
          </w:p>
        </w:tc>
        <w:tc>
          <w:tcPr>
            <w:tcW w:w="2127" w:type="dxa"/>
          </w:tcPr>
          <w:p w:rsidR="0032522A" w:rsidRDefault="00A42A2C" w:rsidP="001B13A0">
            <w:r w:rsidRPr="00A744C2">
              <w:rPr>
                <w:sz w:val="20"/>
                <w:szCs w:val="20"/>
              </w:rPr>
              <w:t>Nuoret pystyvät itse ratkaisemaan ongelmatilanteita. Erilaisuus hyväksytään, esim. vammaisuus, kulttuurit, alakulttuurit, ikä.</w:t>
            </w:r>
          </w:p>
        </w:tc>
        <w:tc>
          <w:tcPr>
            <w:tcW w:w="1842" w:type="dxa"/>
          </w:tcPr>
          <w:p w:rsidR="00A42A2C" w:rsidRPr="00A744C2" w:rsidRDefault="00A42A2C" w:rsidP="00A42A2C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välinen vuorovaikutus on luontevaa, mutta ohjaajaa tarvitaan usein ongelmatilanteiden selvittelyissä.</w:t>
            </w:r>
          </w:p>
          <w:p w:rsidR="0032522A" w:rsidRDefault="0032522A" w:rsidP="001B13A0"/>
        </w:tc>
        <w:tc>
          <w:tcPr>
            <w:tcW w:w="1808" w:type="dxa"/>
          </w:tcPr>
          <w:p w:rsidR="00A42A2C" w:rsidRPr="00A744C2" w:rsidRDefault="00A42A2C" w:rsidP="00A42A2C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välinen vuorovaikutus on valikoivaa. Osa nuorista jää ”porukoiden” ulkopuolelle.</w:t>
            </w:r>
          </w:p>
          <w:p w:rsidR="0032522A" w:rsidRDefault="0032522A" w:rsidP="001B13A0"/>
        </w:tc>
      </w:tr>
      <w:tr w:rsidR="0032522A" w:rsidTr="00B47B9D">
        <w:tc>
          <w:tcPr>
            <w:tcW w:w="1668" w:type="dxa"/>
          </w:tcPr>
          <w:p w:rsidR="0032522A" w:rsidRDefault="0032522A" w:rsidP="001B13A0"/>
        </w:tc>
        <w:tc>
          <w:tcPr>
            <w:tcW w:w="2409" w:type="dxa"/>
          </w:tcPr>
          <w:p w:rsidR="0032522A" w:rsidRDefault="0032522A" w:rsidP="001B13A0"/>
        </w:tc>
        <w:tc>
          <w:tcPr>
            <w:tcW w:w="2127" w:type="dxa"/>
          </w:tcPr>
          <w:p w:rsidR="0032522A" w:rsidRDefault="0032522A" w:rsidP="001B13A0"/>
        </w:tc>
        <w:tc>
          <w:tcPr>
            <w:tcW w:w="1842" w:type="dxa"/>
          </w:tcPr>
          <w:p w:rsidR="0032522A" w:rsidRDefault="0032522A" w:rsidP="001B13A0"/>
        </w:tc>
        <w:tc>
          <w:tcPr>
            <w:tcW w:w="1808" w:type="dxa"/>
          </w:tcPr>
          <w:p w:rsidR="0032522A" w:rsidRDefault="0032522A" w:rsidP="001B13A0"/>
        </w:tc>
      </w:tr>
      <w:tr w:rsidR="0032522A" w:rsidTr="00B47B9D">
        <w:tc>
          <w:tcPr>
            <w:tcW w:w="1668" w:type="dxa"/>
          </w:tcPr>
          <w:p w:rsidR="0032522A" w:rsidRDefault="0032522A" w:rsidP="001B13A0"/>
        </w:tc>
        <w:tc>
          <w:tcPr>
            <w:tcW w:w="2409" w:type="dxa"/>
          </w:tcPr>
          <w:p w:rsidR="0032522A" w:rsidRDefault="0032522A" w:rsidP="001B13A0"/>
        </w:tc>
        <w:tc>
          <w:tcPr>
            <w:tcW w:w="2127" w:type="dxa"/>
          </w:tcPr>
          <w:p w:rsidR="0032522A" w:rsidRDefault="0032522A" w:rsidP="001B13A0"/>
        </w:tc>
        <w:tc>
          <w:tcPr>
            <w:tcW w:w="1842" w:type="dxa"/>
          </w:tcPr>
          <w:p w:rsidR="0032522A" w:rsidRDefault="0032522A" w:rsidP="001B13A0"/>
        </w:tc>
        <w:tc>
          <w:tcPr>
            <w:tcW w:w="1808" w:type="dxa"/>
          </w:tcPr>
          <w:p w:rsidR="0032522A" w:rsidRDefault="0032522A" w:rsidP="001B13A0"/>
        </w:tc>
      </w:tr>
    </w:tbl>
    <w:p w:rsidR="00D729E8" w:rsidRDefault="00D729E8" w:rsidP="001B13A0">
      <w:pPr>
        <w:pBdr>
          <w:bottom w:val="single" w:sz="4" w:space="1" w:color="auto"/>
        </w:pBdr>
      </w:pPr>
    </w:p>
    <w:p w:rsidR="00D729E8" w:rsidRDefault="00D729E8" w:rsidP="001B13A0">
      <w:pPr>
        <w:pBdr>
          <w:bottom w:val="single" w:sz="4" w:space="1" w:color="auto"/>
        </w:pBdr>
      </w:pPr>
    </w:p>
    <w:p w:rsidR="00D729E8" w:rsidRDefault="00D729E8" w:rsidP="001B13A0">
      <w:pPr>
        <w:pBdr>
          <w:bottom w:val="single" w:sz="4" w:space="1" w:color="auto"/>
        </w:pBdr>
      </w:pPr>
      <w:r>
        <w:t>Resurssit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729E8" w:rsidTr="00D729E8">
        <w:tc>
          <w:tcPr>
            <w:tcW w:w="1955" w:type="dxa"/>
          </w:tcPr>
          <w:p w:rsidR="00D729E8" w:rsidRDefault="007A25B2" w:rsidP="00D729E8">
            <w:r>
              <w:t>15)</w:t>
            </w:r>
            <w:r w:rsidRPr="00A744C2">
              <w:rPr>
                <w:sz w:val="20"/>
                <w:szCs w:val="20"/>
              </w:rPr>
              <w:t xml:space="preserve"> Ohjausresurssit  </w:t>
            </w:r>
          </w:p>
        </w:tc>
        <w:tc>
          <w:tcPr>
            <w:tcW w:w="1955" w:type="dxa"/>
          </w:tcPr>
          <w:p w:rsidR="00D729E8" w:rsidRDefault="007A25B2" w:rsidP="00D729E8">
            <w:r w:rsidRPr="00A744C2">
              <w:rPr>
                <w:sz w:val="20"/>
                <w:szCs w:val="20"/>
              </w:rPr>
              <w:t>Ohjaajilla on aikaa huomioida illassa kävijät yksilöllisesti ja/tai rakentaa ryhmätilanteita.</w:t>
            </w:r>
          </w:p>
        </w:tc>
        <w:tc>
          <w:tcPr>
            <w:tcW w:w="1956" w:type="dxa"/>
          </w:tcPr>
          <w:p w:rsidR="00D729E8" w:rsidRDefault="007A25B2" w:rsidP="00D729E8">
            <w:r w:rsidRPr="00A744C2">
              <w:rPr>
                <w:sz w:val="20"/>
                <w:szCs w:val="20"/>
              </w:rPr>
              <w:t>Ohjaajien määrä on suhteutettu toimintoihin ja nuorten lukumäärään.</w:t>
            </w:r>
          </w:p>
        </w:tc>
        <w:tc>
          <w:tcPr>
            <w:tcW w:w="1956" w:type="dxa"/>
          </w:tcPr>
          <w:p w:rsidR="00D729E8" w:rsidRDefault="007A25B2" w:rsidP="00D729E8">
            <w:r w:rsidRPr="00A744C2">
              <w:rPr>
                <w:sz w:val="20"/>
                <w:szCs w:val="20"/>
              </w:rPr>
              <w:t>Ohjaajien määrä riittää hallitsemaan käytössä olevat tilat.</w:t>
            </w:r>
          </w:p>
        </w:tc>
        <w:tc>
          <w:tcPr>
            <w:tcW w:w="1956" w:type="dxa"/>
          </w:tcPr>
          <w:p w:rsidR="00D729E8" w:rsidRDefault="007A25B2" w:rsidP="00D729E8">
            <w:r w:rsidRPr="00A744C2">
              <w:rPr>
                <w:sz w:val="20"/>
                <w:szCs w:val="20"/>
              </w:rPr>
              <w:t>Ohjaajia liian vähän tai paljon suhteessa järjestettävään toimintaan ja nuorten määrään.</w:t>
            </w:r>
          </w:p>
        </w:tc>
      </w:tr>
      <w:tr w:rsidR="00D729E8" w:rsidTr="00D729E8">
        <w:tc>
          <w:tcPr>
            <w:tcW w:w="1955" w:type="dxa"/>
          </w:tcPr>
          <w:p w:rsidR="00D729E8" w:rsidRDefault="007A25B2" w:rsidP="00D729E8">
            <w:r>
              <w:t>16)</w:t>
            </w:r>
            <w:r w:rsidRPr="00A744C2">
              <w:rPr>
                <w:sz w:val="20"/>
                <w:szCs w:val="20"/>
              </w:rPr>
              <w:t xml:space="preserve"> Toimintavälineet</w:t>
            </w:r>
          </w:p>
        </w:tc>
        <w:tc>
          <w:tcPr>
            <w:tcW w:w="1955" w:type="dxa"/>
          </w:tcPr>
          <w:p w:rsidR="00D729E8" w:rsidRDefault="007A25B2" w:rsidP="00D729E8">
            <w:r w:rsidRPr="00A744C2">
              <w:rPr>
                <w:sz w:val="20"/>
                <w:szCs w:val="20"/>
              </w:rPr>
              <w:t>Nuorten käytössä on välineitä, jotka ovat ajanmukaisia. Ne palvelevat erilaisten ryhmien ja yksilöiden tarpeita ja toiveita. Hankinnat tehdään nuorten kanssa.</w:t>
            </w:r>
          </w:p>
        </w:tc>
        <w:tc>
          <w:tcPr>
            <w:tcW w:w="1956" w:type="dxa"/>
          </w:tcPr>
          <w:p w:rsidR="00D729E8" w:rsidRDefault="007A25B2" w:rsidP="00D729E8">
            <w:r w:rsidRPr="00A744C2">
              <w:rPr>
                <w:sz w:val="20"/>
                <w:szCs w:val="20"/>
              </w:rPr>
              <w:t>Erilaisten ryhmien tarpeet on huomioitu toimintavälineissä. Ne ovat hyvässä kunnossa sekä ajanmukaisia. Välinehankinnoissa huomioidaan kasvatuksellisuus ja nuorten toiveet</w:t>
            </w:r>
          </w:p>
        </w:tc>
        <w:tc>
          <w:tcPr>
            <w:tcW w:w="1956" w:type="dxa"/>
          </w:tcPr>
          <w:p w:rsidR="007A25B2" w:rsidRPr="00A744C2" w:rsidRDefault="007A25B2" w:rsidP="007A25B2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Toimintavälineet ovat monipuolisia, mutta osittain huonossa kunnossa.</w:t>
            </w:r>
          </w:p>
          <w:p w:rsidR="00D729E8" w:rsidRDefault="00D729E8" w:rsidP="00D729E8"/>
        </w:tc>
        <w:tc>
          <w:tcPr>
            <w:tcW w:w="1956" w:type="dxa"/>
          </w:tcPr>
          <w:p w:rsidR="00D729E8" w:rsidRDefault="007A25B2" w:rsidP="00D729E8">
            <w:r w:rsidRPr="00A744C2">
              <w:rPr>
                <w:sz w:val="20"/>
                <w:szCs w:val="20"/>
              </w:rPr>
              <w:t>Toimintavälineet ovat huonossa kunnossa. Toimintavälineitä on vähän ja ne ovat yksipuolisia.</w:t>
            </w:r>
          </w:p>
        </w:tc>
      </w:tr>
      <w:tr w:rsidR="00D729E8" w:rsidTr="00D729E8">
        <w:tc>
          <w:tcPr>
            <w:tcW w:w="1955" w:type="dxa"/>
          </w:tcPr>
          <w:p w:rsidR="00D729E8" w:rsidRDefault="000249A2" w:rsidP="00D729E8">
            <w:r>
              <w:t>17)</w:t>
            </w:r>
            <w:r>
              <w:rPr>
                <w:sz w:val="20"/>
                <w:szCs w:val="20"/>
              </w:rPr>
              <w:t xml:space="preserve"> Tietokoneet</w:t>
            </w:r>
          </w:p>
        </w:tc>
        <w:tc>
          <w:tcPr>
            <w:tcW w:w="1955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Nuorten käytössä on tietokoneita sekä ajanmukaisia ja monipuolisia ohjelmia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Nuorten käytössä on riittävästi tietokoneita.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Nuorten käytössä on käyttökelpoisia tietokoneita.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Nuorten käytössä olevat tietokoneet eivät ole käyttökelpoisia.</w:t>
            </w:r>
          </w:p>
        </w:tc>
      </w:tr>
      <w:tr w:rsidR="00D729E8" w:rsidTr="00D729E8">
        <w:tc>
          <w:tcPr>
            <w:tcW w:w="1955" w:type="dxa"/>
          </w:tcPr>
          <w:p w:rsidR="000249A2" w:rsidRPr="00A744C2" w:rsidRDefault="000249A2" w:rsidP="000249A2">
            <w:pPr>
              <w:spacing w:beforeLines="40" w:before="96"/>
              <w:rPr>
                <w:sz w:val="20"/>
                <w:szCs w:val="20"/>
              </w:rPr>
            </w:pPr>
            <w:r>
              <w:t>18)</w:t>
            </w:r>
            <w:r w:rsidRPr="00A744C2">
              <w:rPr>
                <w:sz w:val="20"/>
                <w:szCs w:val="20"/>
              </w:rPr>
              <w:t xml:space="preserve"> Tilojen siisteys ja </w:t>
            </w:r>
            <w:r w:rsidRPr="00A744C2">
              <w:rPr>
                <w:sz w:val="20"/>
                <w:szCs w:val="20"/>
              </w:rPr>
              <w:lastRenderedPageBreak/>
              <w:t>yleisilme</w:t>
            </w:r>
          </w:p>
          <w:p w:rsidR="00D729E8" w:rsidRDefault="00D729E8" w:rsidP="00D729E8"/>
        </w:tc>
        <w:tc>
          <w:tcPr>
            <w:tcW w:w="1955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lastRenderedPageBreak/>
              <w:t xml:space="preserve">Tilat ovat siistit ja </w:t>
            </w:r>
            <w:r w:rsidRPr="00A744C2">
              <w:rPr>
                <w:sz w:val="20"/>
                <w:szCs w:val="20"/>
              </w:rPr>
              <w:lastRenderedPageBreak/>
              <w:t>viihtyisät sekä kalusteet ovat kunnossa. Vastuullinen suhtautuminen yhteiseen ympäristöön/tilaan näkyy nuorten ja ohjaajien toiminnassa.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lastRenderedPageBreak/>
              <w:t xml:space="preserve">Tilat ovat siistit ja </w:t>
            </w:r>
            <w:r w:rsidRPr="00A744C2">
              <w:rPr>
                <w:sz w:val="20"/>
                <w:szCs w:val="20"/>
              </w:rPr>
              <w:lastRenderedPageBreak/>
              <w:t>viihtyisät. Materiaaleissa on huomioitu käytännöllisyys ja siivottavuus.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lastRenderedPageBreak/>
              <w:t xml:space="preserve">Tilat ovat siistit ja </w:t>
            </w:r>
            <w:r w:rsidRPr="00A744C2">
              <w:rPr>
                <w:sz w:val="20"/>
                <w:szCs w:val="20"/>
              </w:rPr>
              <w:lastRenderedPageBreak/>
              <w:t>tavarat järjestyksessä, mutta kalusteet ovat rikkinäisiä. Siivousvälineet ovat tarvittaessa henkilöstön ja nuorten käytössä.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lastRenderedPageBreak/>
              <w:t xml:space="preserve">Tilat ovat sotkuiset ja </w:t>
            </w:r>
            <w:r w:rsidRPr="00A744C2">
              <w:rPr>
                <w:sz w:val="20"/>
                <w:szCs w:val="20"/>
              </w:rPr>
              <w:lastRenderedPageBreak/>
              <w:t>tavarat epäjärjestyksessä.</w:t>
            </w:r>
          </w:p>
        </w:tc>
      </w:tr>
      <w:tr w:rsidR="00D729E8" w:rsidTr="00D729E8">
        <w:tc>
          <w:tcPr>
            <w:tcW w:w="1955" w:type="dxa"/>
          </w:tcPr>
          <w:p w:rsidR="000249A2" w:rsidRPr="00582DF0" w:rsidRDefault="000249A2" w:rsidP="000249A2">
            <w:pPr>
              <w:spacing w:beforeLines="40" w:before="96"/>
              <w:rPr>
                <w:sz w:val="20"/>
                <w:szCs w:val="20"/>
              </w:rPr>
            </w:pPr>
            <w:r>
              <w:lastRenderedPageBreak/>
              <w:t>19)</w:t>
            </w:r>
            <w:r w:rsidRPr="00582DF0">
              <w:rPr>
                <w:sz w:val="20"/>
                <w:szCs w:val="20"/>
              </w:rPr>
              <w:t xml:space="preserve"> Nuorille suunnattu tiedotusmateriaali </w:t>
            </w:r>
          </w:p>
          <w:p w:rsidR="00D729E8" w:rsidRDefault="00D729E8" w:rsidP="000249A2"/>
        </w:tc>
        <w:tc>
          <w:tcPr>
            <w:tcW w:w="1955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Tiedotusmateriaalin vallinnalla nostetaan esille ajankohtaisia teemoja ja reagoidaan nuorisokulttuurisiin, alueellisiin ilmiöihin.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Tarjolla oleva materiaali on suunnattu kohderyhmittäin. Materiaali on ajankohtaista, sitä on riittävästi ja se on selkeästi esillä.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Tarjolla oleva tiedotusmateriaali on ajankohtaista, mutta se on kapea-alaista.</w:t>
            </w:r>
          </w:p>
        </w:tc>
        <w:tc>
          <w:tcPr>
            <w:tcW w:w="1956" w:type="dxa"/>
          </w:tcPr>
          <w:p w:rsidR="00D729E8" w:rsidRDefault="000249A2" w:rsidP="00D729E8">
            <w:r w:rsidRPr="00A744C2">
              <w:rPr>
                <w:sz w:val="20"/>
                <w:szCs w:val="20"/>
              </w:rPr>
              <w:t>Nuorille suunnattu tiedotusmateriaali on osittain vanhentunutta ja sitä on niukasti.</w:t>
            </w:r>
          </w:p>
        </w:tc>
      </w:tr>
      <w:tr w:rsidR="00D729E8" w:rsidTr="00D729E8">
        <w:tc>
          <w:tcPr>
            <w:tcW w:w="1955" w:type="dxa"/>
          </w:tcPr>
          <w:p w:rsidR="00D729E8" w:rsidRDefault="000249A2" w:rsidP="00D729E8">
            <w:r>
              <w:t>20)</w:t>
            </w:r>
            <w:r w:rsidR="009767D3" w:rsidRPr="00582DF0">
              <w:rPr>
                <w:sz w:val="20"/>
                <w:szCs w:val="20"/>
              </w:rPr>
              <w:t xml:space="preserve"> Toiminnasta tiedottaminen</w:t>
            </w:r>
          </w:p>
        </w:tc>
        <w:tc>
          <w:tcPr>
            <w:tcW w:w="1955" w:type="dxa"/>
          </w:tcPr>
          <w:p w:rsidR="00D729E8" w:rsidRDefault="009767D3" w:rsidP="00D729E8">
            <w:r w:rsidRPr="00A744C2">
              <w:rPr>
                <w:sz w:val="20"/>
                <w:szCs w:val="20"/>
              </w:rPr>
              <w:t>Toiminnassa tiedottamisessa käytetään monipuolisia menetelmiä, kuten verkkosivut, sosiaalinen media, esitteet, mainokset ja tiedotteet suunnitelmallisesti. Tiedotusmateriaalin ulkoasu ja sisältö ovat kohderyhmää puhuttelevia ja kiinnostavia.</w:t>
            </w:r>
          </w:p>
        </w:tc>
        <w:tc>
          <w:tcPr>
            <w:tcW w:w="1956" w:type="dxa"/>
          </w:tcPr>
          <w:p w:rsidR="00D729E8" w:rsidRDefault="009767D3" w:rsidP="00D729E8">
            <w:r w:rsidRPr="00A744C2">
              <w:rPr>
                <w:sz w:val="20"/>
                <w:szCs w:val="20"/>
              </w:rPr>
              <w:t>Tiedotuksen sisältö ja valitut välineet ovat kohderyhmälle sopivia. Verkkotiedottaminen on monipuolista.</w:t>
            </w:r>
          </w:p>
        </w:tc>
        <w:tc>
          <w:tcPr>
            <w:tcW w:w="1956" w:type="dxa"/>
          </w:tcPr>
          <w:p w:rsidR="00D729E8" w:rsidRDefault="009767D3" w:rsidP="00D729E8">
            <w:r w:rsidRPr="00A744C2">
              <w:rPr>
                <w:sz w:val="20"/>
                <w:szCs w:val="20"/>
              </w:rPr>
              <w:t>Tiedotuksen sisältö on asiallista. Materiaaleissa käytetään sovittua tunnistetta. Verkkosivuilla olevat perustiedot toiminnasta ovat ajan tasalla.</w:t>
            </w:r>
          </w:p>
        </w:tc>
        <w:tc>
          <w:tcPr>
            <w:tcW w:w="1956" w:type="dxa"/>
          </w:tcPr>
          <w:p w:rsidR="00D729E8" w:rsidRDefault="009767D3" w:rsidP="00D729E8">
            <w:r w:rsidRPr="00A744C2">
              <w:rPr>
                <w:sz w:val="20"/>
                <w:szCs w:val="20"/>
              </w:rPr>
              <w:t>Tiedotuksen kohderyhmää ei ole mietitty ja sisällössä on puutteita. Verkkosivut eivät ole ajan tasalla.</w:t>
            </w:r>
          </w:p>
        </w:tc>
      </w:tr>
      <w:tr w:rsidR="00D729E8" w:rsidTr="00D729E8">
        <w:tc>
          <w:tcPr>
            <w:tcW w:w="1955" w:type="dxa"/>
          </w:tcPr>
          <w:p w:rsidR="00D729E8" w:rsidRDefault="00D729E8" w:rsidP="00D729E8"/>
        </w:tc>
        <w:tc>
          <w:tcPr>
            <w:tcW w:w="1955" w:type="dxa"/>
          </w:tcPr>
          <w:p w:rsidR="00D729E8" w:rsidRDefault="00D729E8" w:rsidP="00D729E8"/>
        </w:tc>
        <w:tc>
          <w:tcPr>
            <w:tcW w:w="1956" w:type="dxa"/>
          </w:tcPr>
          <w:p w:rsidR="00D729E8" w:rsidRDefault="00D729E8" w:rsidP="00D729E8"/>
        </w:tc>
        <w:tc>
          <w:tcPr>
            <w:tcW w:w="1956" w:type="dxa"/>
          </w:tcPr>
          <w:p w:rsidR="00D729E8" w:rsidRDefault="00D729E8" w:rsidP="00D729E8"/>
        </w:tc>
        <w:tc>
          <w:tcPr>
            <w:tcW w:w="1956" w:type="dxa"/>
          </w:tcPr>
          <w:p w:rsidR="00D729E8" w:rsidRDefault="00D729E8" w:rsidP="00D729E8"/>
        </w:tc>
      </w:tr>
      <w:tr w:rsidR="00D729E8" w:rsidTr="00D729E8">
        <w:tc>
          <w:tcPr>
            <w:tcW w:w="1955" w:type="dxa"/>
          </w:tcPr>
          <w:p w:rsidR="00D729E8" w:rsidRDefault="00D729E8" w:rsidP="00D729E8"/>
        </w:tc>
        <w:tc>
          <w:tcPr>
            <w:tcW w:w="1955" w:type="dxa"/>
          </w:tcPr>
          <w:p w:rsidR="00D729E8" w:rsidRDefault="00D729E8" w:rsidP="00D729E8"/>
        </w:tc>
        <w:tc>
          <w:tcPr>
            <w:tcW w:w="1956" w:type="dxa"/>
          </w:tcPr>
          <w:p w:rsidR="00D729E8" w:rsidRDefault="00D729E8" w:rsidP="00D729E8"/>
        </w:tc>
        <w:tc>
          <w:tcPr>
            <w:tcW w:w="1956" w:type="dxa"/>
          </w:tcPr>
          <w:p w:rsidR="00D729E8" w:rsidRDefault="00D729E8" w:rsidP="00D729E8"/>
        </w:tc>
        <w:tc>
          <w:tcPr>
            <w:tcW w:w="1956" w:type="dxa"/>
          </w:tcPr>
          <w:p w:rsidR="00D729E8" w:rsidRDefault="00D729E8" w:rsidP="00D729E8"/>
        </w:tc>
      </w:tr>
    </w:tbl>
    <w:p w:rsidR="0032522A" w:rsidRPr="00D729E8" w:rsidRDefault="0032522A" w:rsidP="00D729E8"/>
    <w:sectPr w:rsidR="0032522A" w:rsidRPr="00D729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8E8"/>
    <w:multiLevelType w:val="hybridMultilevel"/>
    <w:tmpl w:val="3482DA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276E7"/>
    <w:multiLevelType w:val="hybridMultilevel"/>
    <w:tmpl w:val="222098B0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04D43"/>
    <w:multiLevelType w:val="hybridMultilevel"/>
    <w:tmpl w:val="D1F418FA"/>
    <w:lvl w:ilvl="0" w:tplc="535664DA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20343"/>
    <w:multiLevelType w:val="hybridMultilevel"/>
    <w:tmpl w:val="9056BA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CC7A27"/>
    <w:multiLevelType w:val="hybridMultilevel"/>
    <w:tmpl w:val="C6FE86BE"/>
    <w:lvl w:ilvl="0" w:tplc="A7B8D22E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C737B5"/>
    <w:multiLevelType w:val="hybridMultilevel"/>
    <w:tmpl w:val="F14C6FF8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0D7F89"/>
    <w:multiLevelType w:val="hybridMultilevel"/>
    <w:tmpl w:val="DC7AC24E"/>
    <w:lvl w:ilvl="0" w:tplc="EB50F5B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F236C"/>
    <w:multiLevelType w:val="hybridMultilevel"/>
    <w:tmpl w:val="8DAC7628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9E05ED"/>
    <w:multiLevelType w:val="hybridMultilevel"/>
    <w:tmpl w:val="1122B6FE"/>
    <w:lvl w:ilvl="0" w:tplc="65D62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3F2958"/>
    <w:multiLevelType w:val="hybridMultilevel"/>
    <w:tmpl w:val="EAE28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A0"/>
    <w:rsid w:val="000249A2"/>
    <w:rsid w:val="00146938"/>
    <w:rsid w:val="00187A86"/>
    <w:rsid w:val="001B13A0"/>
    <w:rsid w:val="002A080F"/>
    <w:rsid w:val="0032522A"/>
    <w:rsid w:val="003F39AC"/>
    <w:rsid w:val="00520822"/>
    <w:rsid w:val="00526200"/>
    <w:rsid w:val="005A60AA"/>
    <w:rsid w:val="0065464B"/>
    <w:rsid w:val="007A25B2"/>
    <w:rsid w:val="00851149"/>
    <w:rsid w:val="008C1FCB"/>
    <w:rsid w:val="009767D3"/>
    <w:rsid w:val="00983171"/>
    <w:rsid w:val="0099734C"/>
    <w:rsid w:val="00A42A2C"/>
    <w:rsid w:val="00B15F6B"/>
    <w:rsid w:val="00B47B9D"/>
    <w:rsid w:val="00CB78AB"/>
    <w:rsid w:val="00D729E8"/>
    <w:rsid w:val="00D94221"/>
    <w:rsid w:val="00F6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B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8C1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B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8C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E33E-7395-4FC2-8A4C-CADDA169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1055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Lahden kaupunki</dc:creator>
  <cp:lastModifiedBy>Lahden kaupunki</cp:lastModifiedBy>
  <cp:revision>19</cp:revision>
  <dcterms:created xsi:type="dcterms:W3CDTF">2014-09-23T11:10:00Z</dcterms:created>
  <dcterms:modified xsi:type="dcterms:W3CDTF">2014-09-24T10:39:00Z</dcterms:modified>
</cp:coreProperties>
</file>